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/>
          <w:bCs/>
          <w:sz w:val="72"/>
          <w:szCs w:val="72"/>
        </w:rPr>
      </w:pPr>
      <w:r>
        <w:rPr>
          <w:rFonts w:hint="eastAsia" w:ascii="华文中宋" w:hAnsi="华文中宋" w:eastAsia="华文中宋"/>
          <w:bCs/>
          <w:sz w:val="72"/>
          <w:szCs w:val="72"/>
        </w:rPr>
        <w:t>长沙市殡葬事务中心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/>
          <w:bCs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/>
          <w:bCs/>
          <w:sz w:val="72"/>
          <w:szCs w:val="72"/>
          <w:lang w:val="en-US" w:eastAsia="zh-CN"/>
        </w:rPr>
        <w:t>日常维修工具耗材询价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ascii="华文中宋" w:hAnsi="华文中宋" w:eastAsia="华文中宋"/>
          <w:bCs/>
          <w:sz w:val="72"/>
          <w:szCs w:val="72"/>
        </w:rPr>
      </w:pPr>
      <w:r>
        <w:rPr>
          <w:rFonts w:hint="eastAsia" w:ascii="华文中宋" w:hAnsi="华文中宋" w:eastAsia="华文中宋"/>
          <w:bCs/>
          <w:sz w:val="72"/>
          <w:szCs w:val="72"/>
          <w:lang w:val="en-US" w:eastAsia="zh-CN"/>
        </w:rPr>
        <w:t>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ascii="华文中宋" w:hAnsi="华文中宋" w:eastAsia="华文中宋"/>
          <w:bCs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ascii="华文中宋" w:hAnsi="华文中宋" w:eastAsia="华文中宋"/>
          <w:bCs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ascii="华文中宋" w:hAnsi="华文中宋" w:eastAsia="华文中宋"/>
          <w:bCs/>
          <w:sz w:val="72"/>
          <w:szCs w:val="72"/>
        </w:rPr>
      </w:pPr>
      <w:r>
        <w:rPr>
          <w:rFonts w:hint="eastAsia" w:ascii="华文中宋" w:hAnsi="华文中宋" w:eastAsia="华文中宋"/>
          <w:bCs/>
          <w:sz w:val="72"/>
          <w:szCs w:val="72"/>
        </w:rPr>
        <w:t>询价响应文件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textAlignment w:val="auto"/>
        <w:outlineLvl w:val="9"/>
        <w:rPr>
          <w:rFonts w:ascii="黑体" w:hAnsi="宋体"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textAlignment w:val="auto"/>
        <w:outlineLvl w:val="9"/>
        <w:rPr>
          <w:rFonts w:ascii="黑体" w:hAnsi="宋体"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left="1333" w:leftChars="606" w:right="0" w:rightChars="0" w:firstLine="2"/>
        <w:textAlignment w:val="auto"/>
        <w:outlineLvl w:val="9"/>
        <w:rPr>
          <w:rFonts w:ascii="黑体" w:hAnsi="宋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left="1333" w:leftChars="606" w:right="0" w:rightChars="0" w:firstLine="2"/>
        <w:textAlignment w:val="auto"/>
        <w:outlineLvl w:val="9"/>
        <w:rPr>
          <w:rFonts w:ascii="黑体" w:hAnsi="宋体" w:eastAsia="黑体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投标人：</w:t>
      </w:r>
      <w:r>
        <w:rPr>
          <w:rFonts w:hint="eastAsia" w:ascii="黑体" w:hAnsi="宋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1000" w:lineRule="exact"/>
        <w:ind w:right="0" w:rightChars="0"/>
        <w:jc w:val="center"/>
        <w:textAlignment w:val="auto"/>
        <w:outlineLvl w:val="9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年  月  日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长沙市殡葬事务中心</w:t>
      </w:r>
      <w:r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  <w:t>日常维修工具耗材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询价采购项目回执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致：长沙市殡葬事务中心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一、根据已收到的询价文件，我公司根据自身实际情况及研究询价文件后，愿以合计（元）：</w:t>
      </w:r>
      <w:r>
        <w:rPr>
          <w:rFonts w:hint="eastAsia" w:ascii="宋体" w:hAnsi="宋体" w:eastAsia="宋体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/>
          <w:color w:val="000000"/>
          <w:sz w:val="24"/>
          <w:szCs w:val="24"/>
        </w:rPr>
        <w:t>的报价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highlight w:val="yellow"/>
        </w:rPr>
        <w:t>（注：需报单价及合计）</w:t>
      </w:r>
      <w:r>
        <w:rPr>
          <w:rFonts w:hint="eastAsia" w:ascii="宋体" w:hAnsi="宋体" w:eastAsia="宋体"/>
          <w:color w:val="000000"/>
          <w:sz w:val="24"/>
          <w:szCs w:val="24"/>
        </w:rPr>
        <w:t>，按询价文件的要求承包长沙市殡葬事务中心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日常维修工具耗材</w:t>
      </w:r>
      <w:r>
        <w:rPr>
          <w:rFonts w:hint="eastAsia" w:ascii="宋体" w:hAnsi="宋体" w:eastAsia="宋体"/>
          <w:color w:val="000000"/>
          <w:sz w:val="24"/>
          <w:szCs w:val="24"/>
        </w:rPr>
        <w:t>询价采购项目。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firstLine="48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二、一旦中标，我方保证在签订合同后，即刻开展相关服务，并在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规定</w:t>
      </w:r>
      <w:r>
        <w:rPr>
          <w:rFonts w:hint="eastAsia" w:ascii="宋体" w:hAnsi="宋体" w:eastAsia="宋体"/>
          <w:color w:val="000000"/>
          <w:sz w:val="24"/>
          <w:szCs w:val="24"/>
        </w:rPr>
        <w:t>的期限内完成工作。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firstLine="48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三、加强管理，搞好文明服务工作，确保安全，进入服务区的管理人员和作业人员严格执行有关管理制度，遵守有关法律法规。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firstLine="48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四、我公司严格遵守本询价文件的各项承诺。本询价响应文件始终对我方具有约束力，并随时接受中标。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投标单位（盖章）：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 xml:space="preserve">法人 </w:t>
      </w:r>
      <w:r>
        <w:rPr>
          <w:rFonts w:ascii="宋体" w:hAnsi="宋体" w:eastAsia="宋体"/>
          <w:color w:val="000000"/>
        </w:rPr>
        <w:t xml:space="preserve"> </w:t>
      </w:r>
      <w:r>
        <w:rPr>
          <w:rFonts w:hint="eastAsia" w:ascii="宋体" w:hAnsi="宋体" w:eastAsia="宋体"/>
          <w:color w:val="000000"/>
        </w:rPr>
        <w:t>（委托人）：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 xml:space="preserve">电 </w:t>
      </w:r>
      <w:r>
        <w:rPr>
          <w:rFonts w:ascii="宋体" w:hAnsi="宋体" w:eastAsia="宋体"/>
          <w:color w:val="000000"/>
        </w:rPr>
        <w:t xml:space="preserve">          </w:t>
      </w:r>
      <w:r>
        <w:rPr>
          <w:rFonts w:hint="eastAsia" w:ascii="宋体" w:hAnsi="宋体" w:eastAsia="宋体"/>
          <w:color w:val="000000"/>
        </w:rPr>
        <w:t>话 ：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 xml:space="preserve"> </w:t>
      </w:r>
      <w:r>
        <w:rPr>
          <w:rFonts w:ascii="宋体" w:hAnsi="宋体" w:eastAsia="宋体"/>
          <w:color w:val="000000"/>
        </w:rPr>
        <w:t xml:space="preserve">                              </w:t>
      </w:r>
      <w:r>
        <w:rPr>
          <w:rFonts w:hint="eastAsia" w:ascii="宋体" w:hAnsi="宋体" w:eastAsia="宋体"/>
          <w:color w:val="000000"/>
        </w:rPr>
        <w:t xml:space="preserve"> 年  </w:t>
      </w:r>
      <w:r>
        <w:rPr>
          <w:rFonts w:ascii="宋体" w:hAnsi="宋体" w:eastAsia="宋体"/>
          <w:color w:val="000000"/>
        </w:rPr>
        <w:t xml:space="preserve"> </w:t>
      </w:r>
      <w:r>
        <w:rPr>
          <w:rFonts w:hint="eastAsia" w:ascii="宋体" w:hAnsi="宋体" w:eastAsia="宋体"/>
          <w:color w:val="000000"/>
        </w:rPr>
        <w:t xml:space="preserve"> 月   </w:t>
      </w:r>
      <w:r>
        <w:rPr>
          <w:rFonts w:ascii="宋体" w:hAnsi="宋体" w:eastAsia="宋体"/>
          <w:color w:val="000000"/>
        </w:rPr>
        <w:t xml:space="preserve"> </w:t>
      </w:r>
      <w:r>
        <w:rPr>
          <w:rFonts w:hint="eastAsia" w:ascii="宋体" w:hAnsi="宋体" w:eastAsia="宋体"/>
          <w:color w:val="000000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  <w:r>
        <w:rPr>
          <w:rFonts w:hint="eastAsia" w:ascii="宋体" w:hAnsi="宋体" w:eastAsia="宋体"/>
          <w:b/>
          <w:bCs/>
          <w:sz w:val="28"/>
          <w:szCs w:val="28"/>
        </w:rPr>
        <w:t>报价一览表</w:t>
      </w:r>
    </w:p>
    <w:tbl>
      <w:tblPr>
        <w:tblStyle w:val="4"/>
        <w:tblpPr w:leftFromText="180" w:rightFromText="180" w:vertAnchor="page" w:horzAnchor="page" w:tblpX="1665" w:tblpY="2499"/>
        <w:tblOverlap w:val="never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37"/>
        <w:gridCol w:w="1550"/>
        <w:gridCol w:w="1094"/>
        <w:gridCol w:w="563"/>
        <w:gridCol w:w="422"/>
        <w:gridCol w:w="716"/>
        <w:gridCol w:w="878"/>
        <w:gridCol w:w="58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类别（品牌）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价格(元)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小计(元)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给水水管PPR50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联塑或天力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颜色白色，国标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给水水管PPR40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联塑或天力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给水水管PPR32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联塑或天力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给水水管PPR25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联塑或天力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PPR50直接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联塑或天力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PPR50元弯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联塑或天力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PPR50三通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联塑或天力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PPR50阀门        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联塑或天力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PPR50/40大小头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联塑或天力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***元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仿宋" w:hAnsi="仿宋" w:eastAsia="仿宋" w:cs="仿宋_GB2312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2、营业执照复印件（加盖公章）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b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500" w:lineRule="exact"/>
        <w:ind w:right="-22" w:rightChars="-1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3、法定代表人身份证明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姓名：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>，性别：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>，出生日期：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 w:val="21"/>
          <w:szCs w:val="21"/>
        </w:rPr>
        <w:t>，现任职务：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 w:val="21"/>
          <w:szCs w:val="21"/>
        </w:rPr>
        <w:t>，系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/>
          <w:sz w:val="21"/>
          <w:szCs w:val="21"/>
        </w:rPr>
        <w:t>（供应商名称）的法定代表人）。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特此证明。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tbl>
      <w:tblPr>
        <w:tblStyle w:val="4"/>
        <w:tblW w:w="8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法定代表人份证正、反面复印件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供应商名称（加盖单位公章）：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rPr>
          <w:rFonts w:ascii="宋体" w:hAnsi="宋体" w:eastAsia="宋体"/>
          <w:b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72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4、授权委托书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委托人（单位名称）：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法定代表人（或非法人组织负责人）姓名：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 xml:space="preserve"> 身份证号码：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</w:t>
      </w:r>
    </w:p>
    <w:p>
      <w:pPr>
        <w:pageBreakBefore w:val="0"/>
        <w:tabs>
          <w:tab w:val="left" w:pos="520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住所地：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/>
          <w:sz w:val="21"/>
          <w:szCs w:val="21"/>
          <w:u w:val="single"/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受托人名称：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/>
          <w:sz w:val="21"/>
          <w:szCs w:val="21"/>
        </w:rPr>
        <w:t xml:space="preserve">                   身份证号码：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工作单位：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住址：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</w:rPr>
        <w:t xml:space="preserve">                   电话：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现委托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sz w:val="21"/>
          <w:szCs w:val="21"/>
        </w:rPr>
        <w:t>就</w:t>
      </w:r>
      <w:r>
        <w:rPr>
          <w:rFonts w:hint="eastAsia" w:ascii="宋体" w:hAnsi="宋体" w:eastAsia="宋体"/>
          <w:sz w:val="21"/>
          <w:szCs w:val="21"/>
          <w:u w:val="single"/>
        </w:rPr>
        <w:t>（项目名称）</w:t>
      </w:r>
      <w:r>
        <w:rPr>
          <w:rFonts w:hint="eastAsia" w:ascii="宋体" w:hAnsi="宋体" w:eastAsia="宋体"/>
          <w:sz w:val="21"/>
          <w:szCs w:val="21"/>
        </w:rPr>
        <w:t>采购活动，以我单位名义处理一切与之有关的事务。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本授权书于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日签字或盖章生效，</w:t>
      </w:r>
      <w:r>
        <w:rPr>
          <w:rFonts w:hint="eastAsia" w:ascii="宋体" w:hAnsi="宋体" w:eastAsia="宋体"/>
          <w:b/>
          <w:sz w:val="21"/>
          <w:szCs w:val="21"/>
        </w:rPr>
        <w:t>无转委托，</w:t>
      </w:r>
      <w:r>
        <w:rPr>
          <w:rFonts w:hint="eastAsia" w:ascii="宋体" w:hAnsi="宋体" w:eastAsia="宋体"/>
          <w:sz w:val="21"/>
          <w:szCs w:val="21"/>
        </w:rPr>
        <w:t>特此声明。</w:t>
      </w:r>
    </w:p>
    <w:tbl>
      <w:tblPr>
        <w:tblStyle w:val="4"/>
        <w:tblW w:w="8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（※受托人身份证正、反面复印件※）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委托人（加盖单位公章）：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法定代表人（或非法人组织负责人）（签字或盖章）：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受托人（签字或盖章）：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详细通讯地址：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</w:rPr>
        <w:t xml:space="preserve">      邮政编码 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传        真：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</w:rPr>
        <w:t xml:space="preserve">      电     话：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日        期: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宋体" w:hAnsi="宋体" w:eastAsia="宋体"/>
          <w:b/>
          <w:color w:val="00000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5、响应表</w:t>
      </w:r>
    </w:p>
    <w:tbl>
      <w:tblPr>
        <w:tblStyle w:val="4"/>
        <w:tblW w:w="8722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6"/>
        <w:gridCol w:w="2237"/>
        <w:gridCol w:w="3201"/>
        <w:gridCol w:w="1355"/>
        <w:gridCol w:w="10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  <w:jc w:val="center"/>
        </w:trPr>
        <w:tc>
          <w:tcPr>
            <w:tcW w:w="86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序号</w:t>
            </w: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询价采购需求</w:t>
            </w: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响应内容</w:t>
            </w: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响应与偏离</w:t>
            </w: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-92" w:leftChars="-42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6、供应商认为需要提供的其他资料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00" w:lineRule="exact"/>
        <w:ind w:left="440" w:leftChars="200" w:firstLine="0" w:firstLineChars="0"/>
        <w:jc w:val="center"/>
        <w:rPr>
          <w:rFonts w:ascii="宋体" w:hAnsi="宋体" w:eastAsia="宋体"/>
          <w:b/>
          <w:bCs/>
          <w:color w:val="000000"/>
          <w:sz w:val="18"/>
          <w:szCs w:val="18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（格式自拟）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70120"/>
    <w:rsid w:val="288B63BD"/>
    <w:rsid w:val="29AF63CD"/>
    <w:rsid w:val="35E63CE4"/>
    <w:rsid w:val="50B903BE"/>
    <w:rsid w:val="56A85A55"/>
    <w:rsid w:val="73A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 w:cs="宋体"/>
      <w:sz w:val="2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uiPriority w:val="0"/>
    <w:rPr>
      <w:rFonts w:ascii="Times New Roman" w:hAnsi="Times New Roman" w:eastAsia="宋体" w:cs="Times New Roman"/>
      <w:b/>
    </w:rPr>
  </w:style>
  <w:style w:type="paragraph" w:customStyle="1" w:styleId="5">
    <w:name w:val="No Spacing"/>
    <w:qFormat/>
    <w:uiPriority w:val="0"/>
    <w:pPr>
      <w:adjustRightInd w:val="0"/>
      <w:snapToGrid w:val="0"/>
    </w:pPr>
    <w:rPr>
      <w:rFonts w:ascii="Tahoma" w:hAnsi="Tahoma" w:eastAsia="微软雅黑" w:cs="宋体"/>
      <w:sz w:val="22"/>
      <w:szCs w:val="22"/>
      <w:lang w:val="en-US" w:eastAsia="zh-CN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CD</cp:lastModifiedBy>
  <dcterms:modified xsi:type="dcterms:W3CDTF">2024-05-27T06:20:14Z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